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c>
          <w:tcPr>
            <w:tcW w:type="dxa" w:w="9638"/>
            <w:shd w:fill="2D5A27" w:color="auto" w:val="clear"/>
            <w:tcMar>
              <w:top w:type="dxa" w:w="220"/>
              <w:left w:type="dxa" w:w="260"/>
              <w:bottom w:type="dxa" w:w="220"/>
              <w:right w:type="dxa" w:w="260"/>
            </w:tcMar>
          </w:tcPr>
          <w:p>
            <w:pPr>
              <w:spacing w:after="60"/>
            </w:pPr>
            <w:r>
              <w:rPr>
                <w:b/>
                <w:bCs/>
                <w:color w:val="F5C200"/>
                <w:sz w:val="17"/>
                <w:szCs w:val="17"/>
              </w:rPr>
              <w:t xml:space="preserve">BIZZBIZOUILLE — L’ABEILLE EN VADROUILLE</w:t>
            </w:r>
          </w:p>
          <w:p>
            <w:pPr>
              <w:spacing w:after="40"/>
            </w:pPr>
            <w:r>
              <w:rPr>
                <w:color w:val="DDE7D5"/>
                <w:sz w:val="19"/>
                <w:szCs w:val="19"/>
              </w:rPr>
              <w:t xml:space="preserve">Fiche pédagogique Cycle 3 — Séance 5</w:t>
            </w:r>
          </w:p>
          <w:p>
            <w:r>
              <w:rPr>
                <w:b/>
                <w:bCs/>
                <w:color w:val="FFFFFF"/>
                <w:sz w:val="34"/>
                <w:szCs w:val="34"/>
              </w:rPr>
              <w:t xml:space="preserve">Projet éco-citoyen filé</w:t>
            </w:r>
          </w:p>
          <w:p>
            <w:pPr>
              <w:spacing w:before="60"/>
            </w:pPr>
            <w:r>
              <w:rPr>
                <w:color w:val="DDE7D5"/>
                <w:sz w:val="18"/>
                <w:szCs w:val="18"/>
              </w:rPr>
              <w:t xml:space="preserve">Durée : 2 à 3 semaines  ·  Élémentaire : CM1 · CM2  ·  9 à 11 ans</w:t>
            </w:r>
          </w:p>
        </w:tc>
      </w:tr>
    </w:tbl>
    <w:p>
      <w:pPr>
        <w:spacing w:after="200"/>
      </w:pPr>
    </w:p>
    <w:tbl>
      <w:tblPr>
        <w:tblW w:type="dxa" w:w="9638"/>
        <w:tblBorders>
          <w:top w:val="single" w:color="F5C200" w:sz="10"/>
          <w:left w:val="single" w:color="F5C200" w:sz="10"/>
          <w:bottom w:val="single" w:color="F5C200" w:sz="10"/>
          <w:right w:val="single" w:color="F5C200" w:sz="10"/>
          <w:insideH w:val="none" w:color="FFFFFF" w:sz="0"/>
          <w:insideV w:val="none" w:color="FFFFFF" w:sz="0"/>
        </w:tblBorders>
      </w:tblPr>
      <w:tblGrid>
        <w:gridCol w:w="9638"/>
      </w:tblGrid>
      <w:tr>
        <w:tc>
          <w:tcPr>
            <w:tcW w:type="dxa" w:w="9638"/>
            <w:shd w:fill="FFF8DC" w:color="auto" w:val="clear"/>
            <w:tcMar>
              <w:top w:type="dxa" w:w="170"/>
              <w:left w:type="dxa" w:w="220"/>
              <w:bottom w:type="dxa" w:w="170"/>
              <w:right w:type="dxa" w:w="220"/>
            </w:tcMar>
          </w:tcPr>
          <w:p>
            <w:pPr>
              <w:spacing w:after="90"/>
            </w:pPr>
            <w:r>
              <w:rPr>
                <w:b/>
                <w:bCs/>
                <w:color w:val="2D5A27"/>
                <w:sz w:val="21"/>
                <w:szCs w:val="21"/>
              </w:rPr>
              <w:t xml:space="preserve">En résumé</w:t>
            </w:r>
          </w:p>
          <w:p>
            <w:pPr>
              <w:spacing w:after="60"/>
            </w:pPr>
            <w:r>
              <w:rPr>
                <w:sz w:val="20"/>
                <w:szCs w:val="20"/>
              </w:rPr>
              <w:t xml:space="preserve">Prolongement mené en fil rouge sur deux à trois semaines : la classe s’engage collectivement et mesure son propre résultat.</w:t>
            </w:r>
          </w:p>
          <w:p>
            <w:pPr>
              <w:spacing w:after="60"/>
            </w:pPr>
            <w:r>
              <w:rPr>
                <w:sz w:val="20"/>
                <w:szCs w:val="20"/>
              </w:rPr>
              <w:t xml:space="preserve">Objectif : passer de l’argumentation à l’engagement vérifiable, avec un suivi chiffré.</w:t>
            </w:r>
          </w:p>
          <w:p>
            <w:pPr>
              <w:spacing w:after="60"/>
            </w:pPr>
            <w:r>
              <w:rPr>
                <w:sz w:val="20"/>
                <w:szCs w:val="20"/>
              </w:rPr>
              <w:t xml:space="preserve">La charte à remplir est en annexe de cette fiche.</w:t>
            </w:r>
          </w:p>
        </w:tc>
      </w:tr>
    </w:tbl>
    <w:p>
      <w:pPr>
        <w:pBdr>
          <w:bottom w:val="single" w:color="F5C200" w:sz="8" w:space="4"/>
        </w:pBdr>
        <w:spacing w:after="130" w:before="300"/>
      </w:pPr>
      <w:r>
        <w:rPr>
          <w:b/>
          <w:bCs/>
          <w:color w:val="2D5A27"/>
          <w:sz w:val="26"/>
          <w:szCs w:val="26"/>
        </w:rPr>
        <w:t xml:space="preserve">Ce que l’on vise</w:t>
      </w:r>
    </w:p>
    <w:tbl>
      <w:tblPr>
        <w:tblW w:type="dxa" w:w="9638"/>
        <w:tblBorders>
          <w:top w:val="single" w:color="D8DCE0" w:sz="4"/>
          <w:left w:val="single" w:color="D8DCE0" w:sz="4"/>
          <w:bottom w:val="single" w:color="D8DCE0" w:sz="4"/>
          <w:right w:val="single" w:color="D8DCE0" w:sz="4"/>
          <w:insideH w:val="single" w:color="D8DCE0" w:sz="4"/>
          <w:insideV w:val="single" w:color="D8DCE0" w:sz="4"/>
        </w:tblBorders>
      </w:tblPr>
      <w:tblGrid>
        <w:gridCol w:w="2600"/>
        <w:gridCol w:w="7038"/>
      </w:tblGrid>
      <w:tr>
        <w:tc>
          <w:tcPr>
            <w:tcW w:type="dxa" w:w="2600"/>
            <w:shd w:fill="EEF5E9" w:color="auto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/>
            </w:pPr>
            <w:r>
              <w:rPr>
                <w:b/>
                <w:bCs/>
                <w:color w:val="2D5A27"/>
                <w:sz w:val="20"/>
                <w:szCs w:val="20"/>
              </w:rPr>
              <w:t xml:space="preserve">Disciplines</w:t>
            </w:r>
          </w:p>
        </w:tc>
        <w:tc>
          <w:tcPr>
            <w:tcW w:type="dxa" w:w="7038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/>
            </w:pPr>
            <w:r>
              <w:rPr>
                <w:color w:val="1A1A1A"/>
                <w:sz w:val="20"/>
                <w:szCs w:val="20"/>
              </w:rPr>
              <w:t xml:space="preserve">EMC (engagement collectif, responsabilité) · Sciences et technologie (mesure, suivi) · Mathématiques (tableau, graphique) · Français (restitution orale).</w:t>
            </w:r>
          </w:p>
        </w:tc>
      </w:tr>
      <w:tr>
        <w:tc>
          <w:tcPr>
            <w:tcW w:type="dxa" w:w="2600"/>
            <w:shd w:fill="EEF5E9" w:color="auto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/>
            </w:pPr>
            <w:r>
              <w:rPr>
                <w:b/>
                <w:bCs/>
                <w:color w:val="2D5A27"/>
                <w:sz w:val="20"/>
                <w:szCs w:val="20"/>
              </w:rPr>
              <w:t xml:space="preserve">Objectif</w:t>
            </w:r>
          </w:p>
        </w:tc>
        <w:tc>
          <w:tcPr>
            <w:tcW w:type="dxa" w:w="7038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/>
            </w:pPr>
            <w:r>
              <w:rPr>
                <w:color w:val="1A1A1A"/>
                <w:sz w:val="20"/>
                <w:szCs w:val="20"/>
              </w:rPr>
              <w:t xml:space="preserve">L’élève tient un engagement mesurable et rend compte du résultat collectif.</w:t>
            </w:r>
          </w:p>
        </w:tc>
      </w:tr>
      <w:tr>
        <w:tc>
          <w:tcPr>
            <w:tcW w:type="dxa" w:w="2600"/>
            <w:shd w:fill="EEF5E9" w:color="auto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/>
            </w:pPr>
            <w:r>
              <w:rPr>
                <w:b/>
                <w:bCs/>
                <w:color w:val="2D5A27"/>
                <w:sz w:val="20"/>
                <w:szCs w:val="20"/>
              </w:rPr>
              <w:t xml:space="preserve">Matériel</w:t>
            </w:r>
          </w:p>
        </w:tc>
        <w:tc>
          <w:tcPr>
            <w:tcW w:type="dxa" w:w="7038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/>
            </w:pPr>
            <w:r>
              <w:rPr>
                <w:color w:val="1A1A1A"/>
                <w:sz w:val="20"/>
                <w:szCs w:val="20"/>
              </w:rPr>
              <w:t xml:space="preserve">L’annexe 1 (charte à remplir) imprimée en A3 · un tableau de suivi hebdomadaire · les productions de la séance 4.</w:t>
            </w:r>
          </w:p>
        </w:tc>
      </w:tr>
      <w:tr>
        <w:tc>
          <w:tcPr>
            <w:tcW w:type="dxa" w:w="2600"/>
            <w:shd w:fill="EEF5E9" w:color="auto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/>
            </w:pPr>
            <w:r>
              <w:rPr>
                <w:b/>
                <w:bCs/>
                <w:color w:val="2D5A27"/>
                <w:sz w:val="20"/>
                <w:szCs w:val="20"/>
              </w:rPr>
              <w:t xml:space="preserve">Durée</w:t>
            </w:r>
          </w:p>
        </w:tc>
        <w:tc>
          <w:tcPr>
            <w:tcW w:type="dxa" w:w="7038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/>
            </w:pPr>
            <w:r>
              <w:rPr>
                <w:color w:val="1A1A1A"/>
                <w:sz w:val="20"/>
                <w:szCs w:val="20"/>
              </w:rPr>
              <w:t xml:space="preserve">Une séance de lancement de 45 min, puis 5 minutes de relevé par jour, et une séance de restitution de 45 min.</w:t>
            </w:r>
          </w:p>
        </w:tc>
      </w:tr>
    </w:tbl>
    <w:p>
      <w:pPr>
        <w:pBdr>
          <w:bottom w:val="single" w:color="F5C200" w:sz="8" w:space="4"/>
        </w:pBdr>
        <w:spacing w:after="130" w:before="300"/>
      </w:pPr>
      <w:r>
        <w:rPr>
          <w:b/>
          <w:bCs/>
          <w:color w:val="2D5A27"/>
          <w:sz w:val="26"/>
          <w:szCs w:val="26"/>
        </w:rPr>
        <w:t xml:space="preserve">Déroulement du projet</w:t>
      </w:r>
    </w:p>
    <w:tbl>
      <w:tblPr>
        <w:tblW w:type="dxa" w:w="9638"/>
        <w:tblBorders>
          <w:top w:val="single" w:color="D8DCE0" w:sz="4"/>
          <w:left w:val="single" w:color="D8DCE0" w:sz="4"/>
          <w:bottom w:val="single" w:color="D8DCE0" w:sz="4"/>
          <w:right w:val="single" w:color="D8DCE0" w:sz="4"/>
          <w:insideH w:val="single" w:color="D8DCE0" w:sz="4"/>
          <w:insideV w:val="single" w:color="D8DCE0" w:sz="4"/>
        </w:tblBorders>
      </w:tblPr>
      <w:tblGrid>
        <w:gridCol w:w="1100"/>
        <w:gridCol w:w="2100"/>
        <w:gridCol w:w="6438"/>
      </w:tblGrid>
      <w:tr>
        <w:trPr>
          <w:tblHeader/>
        </w:trPr>
        <w:tc>
          <w:tcPr>
            <w:tcW w:type="dxa" w:w="1100"/>
            <w:shd w:fill="2D5A27" w:color="auto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Durée</w:t>
            </w:r>
          </w:p>
        </w:tc>
        <w:tc>
          <w:tcPr>
            <w:tcW w:type="dxa" w:w="2100"/>
            <w:shd w:fill="2D5A27" w:color="auto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Étape</w:t>
            </w:r>
          </w:p>
        </w:tc>
        <w:tc>
          <w:tcPr>
            <w:tcW w:type="dxa" w:w="6438"/>
            <w:shd w:fill="2D5A27" w:color="auto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Déroulé détaillé</w:t>
            </w:r>
          </w:p>
        </w:tc>
      </w:tr>
      <w:tr>
        <w:tc>
          <w:tcPr>
            <w:tcW w:type="dxa" w:w="1100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/>
              <w:jc w:val="center"/>
            </w:pPr>
            <w:r>
              <w:rPr>
                <w:b/>
                <w:bCs/>
                <w:color w:val="1A1A1A"/>
                <w:sz w:val="20"/>
                <w:szCs w:val="20"/>
              </w:rPr>
              <w:t xml:space="preserve">Séance de
lancement</w:t>
            </w:r>
          </w:p>
        </w:tc>
        <w:tc>
          <w:tcPr>
            <w:tcW w:type="dxa" w:w="2100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/>
            </w:pPr>
            <w:r>
              <w:rPr>
                <w:b/>
                <w:bCs/>
                <w:color w:val="4A8C3F"/>
                <w:sz w:val="20"/>
                <w:szCs w:val="20"/>
              </w:rPr>
              <w:t xml:space="preserve">La charte</w:t>
            </w:r>
          </w:p>
        </w:tc>
        <w:tc>
          <w:tcPr>
            <w:tcW w:type="dxa" w:w="6438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70"/>
            </w:pPr>
            <w:r>
              <w:rPr>
                <w:sz w:val="20"/>
                <w:szCs w:val="20"/>
              </w:rPr>
              <w:t xml:space="preserve">Choix collectif de cinq engagements, inspirés de la chanson et des enquêtes de la séance 2.</w:t>
            </w:r>
          </w:p>
          <w:p>
            <w:pPr>
              <w:spacing w:after="70"/>
            </w:pPr>
            <w:r>
              <w:rPr>
                <w:sz w:val="20"/>
                <w:szCs w:val="20"/>
              </w:rPr>
              <w:t xml:space="preserve">Critère non négociable : chaque engagement doit être mesurable. « Faire attention à l’eau » ne convient pas ; « fermer le robinet pendant le brossage » se vérifie.</w:t>
            </w:r>
          </w:p>
          <w:p>
            <w:pPr>
              <w:spacing w:after="70"/>
            </w:pPr>
            <w:r>
              <w:rPr>
                <w:sz w:val="20"/>
                <w:szCs w:val="20"/>
              </w:rPr>
              <w:t xml:space="preserve">Remplir l’annexe 1 en A3, la faire signer par tous les élèves, l’afficher à hauteur de regard.</w:t>
            </w:r>
          </w:p>
          <w:p>
            <w:pPr>
              <w:spacing w:after="0"/>
            </w:pPr>
            <w:r>
              <w:rPr>
                <w:sz w:val="20"/>
                <w:szCs w:val="20"/>
              </w:rPr>
              <w:t xml:space="preserve">Créer le tableau de suivi hebdomadaire : cinq lignes, cinq jours. Responsabilité tournante par binômes pour le relevé.</w:t>
            </w:r>
          </w:p>
        </w:tc>
      </w:tr>
      <w:tr>
        <w:tc>
          <w:tcPr>
            <w:tcW w:type="dxa" w:w="1100"/>
            <w:shd w:fill="F7F9F5" w:color="auto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/>
              <w:jc w:val="center"/>
            </w:pPr>
            <w:r>
              <w:rPr>
                <w:b/>
                <w:bCs/>
                <w:color w:val="1A1A1A"/>
                <w:sz w:val="20"/>
                <w:szCs w:val="20"/>
              </w:rPr>
              <w:t xml:space="preserve">Chaque jour</w:t>
            </w:r>
          </w:p>
        </w:tc>
        <w:tc>
          <w:tcPr>
            <w:tcW w:type="dxa" w:w="2100"/>
            <w:shd w:fill="F7F9F5" w:color="auto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/>
            </w:pPr>
            <w:r>
              <w:rPr>
                <w:b/>
                <w:bCs/>
                <w:color w:val="4A8C3F"/>
                <w:sz w:val="20"/>
                <w:szCs w:val="20"/>
              </w:rPr>
              <w:t xml:space="preserve">Le relevé</w:t>
            </w:r>
          </w:p>
        </w:tc>
        <w:tc>
          <w:tcPr>
            <w:tcW w:type="dxa" w:w="6438"/>
            <w:shd w:fill="F7F9F5" w:color="auto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70"/>
            </w:pPr>
            <w:r>
              <w:rPr>
                <w:sz w:val="20"/>
                <w:szCs w:val="20"/>
              </w:rPr>
              <w:t xml:space="preserve">Cinq minutes en fin de journée : le binôme de service coche ce qui a été tenu.</w:t>
            </w:r>
          </w:p>
          <w:p>
            <w:pPr>
              <w:spacing w:after="70"/>
            </w:pPr>
            <w:r>
              <w:rPr>
                <w:sz w:val="20"/>
                <w:szCs w:val="20"/>
              </w:rPr>
              <w:t xml:space="preserve">Consigner honnêtement les échecs. Une semaine à 60 % est un résultat, pas une faute — et c’est ce qui rend la mesure crédible.</w:t>
            </w:r>
          </w:p>
          <w:p>
            <w:pPr>
              <w:spacing w:after="0"/>
            </w:pPr>
            <w:r>
              <w:rPr>
                <w:sz w:val="20"/>
                <w:szCs w:val="20"/>
              </w:rPr>
              <w:t xml:space="preserve">En fin de semaine, calculer le pourcentage d’engagements tenus et le reporter sur un graphique simple.</w:t>
            </w:r>
          </w:p>
        </w:tc>
      </w:tr>
      <w:tr>
        <w:tc>
          <w:tcPr>
            <w:tcW w:type="dxa" w:w="1100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/>
              <w:jc w:val="center"/>
            </w:pPr>
            <w:r>
              <w:rPr>
                <w:b/>
                <w:bCs/>
                <w:color w:val="1A1A1A"/>
                <w:sz w:val="20"/>
                <w:szCs w:val="20"/>
              </w:rPr>
              <w:t xml:space="preserve">Option</w:t>
            </w:r>
          </w:p>
        </w:tc>
        <w:tc>
          <w:tcPr>
            <w:tcW w:type="dxa" w:w="2100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/>
            </w:pPr>
            <w:r>
              <w:rPr>
                <w:b/>
                <w:bCs/>
                <w:color w:val="4A8C3F"/>
                <w:sz w:val="20"/>
                <w:szCs w:val="20"/>
              </w:rPr>
              <w:t xml:space="preserve">Le défi inter-classes</w:t>
            </w:r>
          </w:p>
        </w:tc>
        <w:tc>
          <w:tcPr>
            <w:tcW w:type="dxa" w:w="6438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70"/>
            </w:pPr>
            <w:r>
              <w:rPr>
                <w:sz w:val="20"/>
                <w:szCs w:val="20"/>
              </w:rPr>
              <w:t xml:space="preserve">Proposer la même charte à une autre classe de l’école et comparer les résultats après trois semaines.</w:t>
            </w:r>
          </w:p>
          <w:p>
            <w:pPr>
              <w:spacing w:after="70"/>
            </w:pPr>
            <w:r>
              <w:rPr>
                <w:sz w:val="20"/>
                <w:szCs w:val="20"/>
              </w:rPr>
              <w:t xml:space="preserve">Prévoir un temps d’échange entre les deux classes sur les difficultés rencontrées, plutôt qu’un classement.</w:t>
            </w:r>
          </w:p>
          <w:p>
            <w:pPr>
              <w:spacing w:after="0"/>
            </w:pPr>
            <w:r>
              <w:rPr>
                <w:sz w:val="20"/>
                <w:szCs w:val="20"/>
              </w:rPr>
              <w:t xml:space="preserve">C’est aussi l’occasion de diffuser la minute radiophonique ou le tract produits en séance 4.</w:t>
            </w:r>
          </w:p>
        </w:tc>
      </w:tr>
      <w:tr>
        <w:tc>
          <w:tcPr>
            <w:tcW w:type="dxa" w:w="1100"/>
            <w:shd w:fill="F7F9F5" w:color="auto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/>
              <w:jc w:val="center"/>
            </w:pPr>
            <w:r>
              <w:rPr>
                <w:b/>
                <w:bCs/>
                <w:color w:val="1A1A1A"/>
                <w:sz w:val="20"/>
                <w:szCs w:val="20"/>
              </w:rPr>
              <w:t xml:space="preserve">Séance de
restitution</w:t>
            </w:r>
          </w:p>
        </w:tc>
        <w:tc>
          <w:tcPr>
            <w:tcW w:type="dxa" w:w="2100"/>
            <w:shd w:fill="F7F9F5" w:color="auto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/>
            </w:pPr>
            <w:r>
              <w:rPr>
                <w:b/>
                <w:bCs/>
                <w:color w:val="4A8C3F"/>
                <w:sz w:val="20"/>
                <w:szCs w:val="20"/>
              </w:rPr>
              <w:t xml:space="preserve">« Les gestes qui comptent »</w:t>
            </w:r>
          </w:p>
        </w:tc>
        <w:tc>
          <w:tcPr>
            <w:tcW w:type="dxa" w:w="6438"/>
            <w:shd w:fill="F7F9F5" w:color="auto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70"/>
            </w:pPr>
            <w:r>
              <w:rPr>
                <w:sz w:val="20"/>
                <w:szCs w:val="20"/>
              </w:rPr>
              <w:t xml:space="preserve">Exposition présentée aux autres classes ou aux familles : tracts, strophes inventées, fiches d’investigation, graphique de suivi.</w:t>
            </w:r>
          </w:p>
          <w:p>
            <w:pPr>
              <w:spacing w:after="70"/>
            </w:pPr>
            <w:r>
              <w:rPr>
                <w:sz w:val="20"/>
                <w:szCs w:val="20"/>
              </w:rPr>
              <w:t xml:space="preserve">Présentation de la charte et des résultats réels, y compris ce qui n’a pas fonctionné.</w:t>
            </w:r>
          </w:p>
          <w:p>
            <w:pPr>
              <w:spacing w:after="70"/>
            </w:pPr>
            <w:r>
              <w:rPr>
                <w:sz w:val="20"/>
                <w:szCs w:val="20"/>
              </w:rPr>
              <w:t xml:space="preserve">Restitution musicale : la chanson interprétée avec la strophe écrite par la classe.</w:t>
            </w:r>
          </w:p>
          <w:p>
            <w:pPr>
              <w:spacing w:after="0"/>
            </w:pPr>
            <w:r>
              <w:rPr>
                <w:sz w:val="20"/>
                <w:szCs w:val="20"/>
              </w:rPr>
              <w:t xml:space="preserve">Diffusion de la minute radiophonique.</w:t>
            </w:r>
          </w:p>
        </w:tc>
      </w:tr>
    </w:tbl>
    <w:p>
      <w:pPr>
        <w:pBdr>
          <w:bottom w:val="single" w:color="F5C200" w:sz="8" w:space="4"/>
        </w:pBdr>
        <w:spacing w:after="130" w:before="300"/>
      </w:pPr>
      <w:r>
        <w:rPr>
          <w:b/>
          <w:bCs/>
          <w:color w:val="2D5A27"/>
          <w:sz w:val="26"/>
          <w:szCs w:val="26"/>
        </w:rPr>
        <w:t xml:space="preserve">Ce que l’enseignant observe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1"/>
          <w:szCs w:val="21"/>
        </w:rPr>
        <w:t xml:space="preserve">L’élève formule-t-il un engagement mesurable, ou une intention vague 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1"/>
          <w:szCs w:val="21"/>
        </w:rPr>
        <w:t xml:space="preserve">Le relevé est-il honnête, y compris les jours d’échec 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1"/>
          <w:szCs w:val="21"/>
        </w:rPr>
        <w:t xml:space="preserve">Sait-il interpréter le pourcentage hebdomadaire de la classe 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1"/>
          <w:szCs w:val="21"/>
        </w:rPr>
        <w:t xml:space="preserve">Dans la restitution, appuie-t-il son propos sur des données plutôt que sur des opinions ?</w:t>
      </w:r>
    </w:p>
    <w:tbl>
      <w:tblPr>
        <w:tblW w:type="dxa" w:w="9638"/>
        <w:tblBorders>
          <w:top w:val="single" w:color="F5C200" w:sz="10"/>
          <w:left w:val="single" w:color="F5C200" w:sz="10"/>
          <w:bottom w:val="single" w:color="F5C200" w:sz="10"/>
          <w:right w:val="single" w:color="F5C200" w:sz="10"/>
          <w:insideH w:val="none" w:color="FFFFFF" w:sz="0"/>
          <w:insideV w:val="none" w:color="FFFFFF" w:sz="0"/>
        </w:tblBorders>
      </w:tblPr>
      <w:tblGrid>
        <w:gridCol w:w="9638"/>
      </w:tblGrid>
      <w:tr>
        <w:tc>
          <w:tcPr>
            <w:tcW w:type="dxa" w:w="9638"/>
            <w:shd w:fill="FFF8DC" w:color="auto" w:val="clear"/>
            <w:tcMar>
              <w:top w:type="dxa" w:w="170"/>
              <w:left w:type="dxa" w:w="220"/>
              <w:bottom w:type="dxa" w:w="170"/>
              <w:right w:type="dxa" w:w="220"/>
            </w:tcMar>
          </w:tcPr>
          <w:p>
            <w:pPr>
              <w:spacing w:after="90"/>
            </w:pPr>
            <w:r>
              <w:rPr>
                <w:b/>
                <w:bCs/>
                <w:color w:val="2D5A27"/>
                <w:sz w:val="21"/>
                <w:szCs w:val="21"/>
              </w:rPr>
              <w:t xml:space="preserve">Pour inscrire ce projet dans une démarche E3D</w:t>
            </w:r>
          </w:p>
          <w:p>
            <w:pPr>
              <w:spacing w:after="60"/>
            </w:pPr>
            <w:r>
              <w:rPr>
                <w:sz w:val="20"/>
                <w:szCs w:val="20"/>
              </w:rPr>
              <w:t xml:space="preserve">Ce projet coche plusieurs critères de la labellisation E3D : action mesurable sur le fonctionnement de l’école, implication directe des élèves, communication vers les autres classes et les familles, suivi dans la durée.</w:t>
            </w:r>
          </w:p>
          <w:p>
            <w:pPr>
              <w:spacing w:after="60"/>
            </w:pPr>
            <w:r>
              <w:rPr>
                <w:sz w:val="20"/>
                <w:szCs w:val="20"/>
              </w:rPr>
              <w:t xml:space="preserve">L’auto-diagnostic « Ma Boussole E3D » et le kit éco-délégués, tous deux gratuits sur bizzbizouille.fr, permettent de relier cette charte à une démarche d’école plus large.</w:t>
            </w:r>
          </w:p>
        </w:tc>
      </w:tr>
    </w:tbl>
    <w:p>
      <w:pPr>
        <w:pageBreakBefore/>
      </w:pPr>
    </w:p>
    <w:p>
      <w:pPr>
        <w:pBdr>
          <w:bottom w:val="single" w:color="F5C200" w:sz="8" w:space="4"/>
        </w:pBdr>
        <w:spacing w:after="130" w:before="300"/>
      </w:pPr>
      <w:r>
        <w:rPr>
          <w:b/>
          <w:bCs/>
          <w:color w:val="2D5A27"/>
          <w:sz w:val="26"/>
          <w:szCs w:val="26"/>
        </w:rPr>
        <w:t xml:space="preserve">Annexe 1 — La charte des éco-gestes de la classe</w:t>
      </w:r>
    </w:p>
    <w:p>
      <w:pPr>
        <w:spacing w:after="110"/>
      </w:pPr>
      <w:r>
        <w:rPr>
          <w:i/>
          <w:iCs/>
          <w:color w:val="5B6470"/>
          <w:sz w:val="21"/>
          <w:szCs w:val="21"/>
        </w:rPr>
        <w:t xml:space="preserve">À imprimer en A3, remplir collectivement, faire signer par tous les élèves et afficher.</w:t>
      </w:r>
    </w:p>
    <w:p>
      <w:pPr>
        <w:spacing w:after="60" w:before="160"/>
        <w:jc w:val="center"/>
      </w:pPr>
      <w:r>
        <w:drawing>
          <wp:inline distT="0" distB="0" distL="0" distR="0">
            <wp:extent cx="3619500" cy="24098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2409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80"/>
        <w:jc w:val="center"/>
      </w:pPr>
      <w:r>
        <w:rPr>
          <w:i/>
          <w:iCs/>
          <w:color w:val="5B6470"/>
          <w:sz w:val="17"/>
          <w:szCs w:val="17"/>
        </w:rPr>
        <w:t xml:space="preserve">Gabarit à compléter : cinq engagements mesurables, puis les signatures de la classe.</w:t>
      </w:r>
    </w:p>
    <w:p>
      <w:pPr>
        <w:pBdr>
          <w:bottom w:val="single" w:color="F5C200" w:sz="8" w:space="4"/>
        </w:pBdr>
        <w:spacing w:after="130" w:before="300"/>
      </w:pPr>
      <w:r>
        <w:rPr>
          <w:b/>
          <w:bCs/>
          <w:color w:val="2D5A27"/>
          <w:sz w:val="26"/>
          <w:szCs w:val="26"/>
        </w:rPr>
        <w:t xml:space="preserve">Annexe 2 — Rappel des quatre catégories</w:t>
      </w:r>
    </w:p>
    <w:p>
      <w:pPr>
        <w:spacing w:after="60" w:before="160"/>
        <w:jc w:val="center"/>
      </w:pPr>
      <w:r>
        <w:drawing>
          <wp:inline xmlns:a="http://schemas.openxmlformats.org/drawingml/2006/main" xmlns:pic="http://schemas.openxmlformats.org/drawingml/2006/picture">
            <wp:extent cx="4389120" cy="3033113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_embed_ecogestes-4-categories-photo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389120" cy="303311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80"/>
        <w:jc w:val="center"/>
      </w:pPr>
      <w:r>
        <w:rPr>
          <w:i/>
          <w:iCs/>
          <w:color w:val="5B6470"/>
          <w:sz w:val="17"/>
          <w:szCs w:val="17"/>
        </w:rPr>
        <w:t xml:space="preserve">Pour vérifier que la charte couvre plusieurs domaines, et pas seulement les déchets.</w:t>
      </w:r>
    </w:p>
    <w:sectPr>
      <w:headerReference w:type="default" r:id="rId7"/>
      <w:footerReference w:type="default" r:id="rId8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8DCE0" w:sz="4" w:space="6"/>
      </w:pBdr>
      <w:jc w:val="center"/>
    </w:pPr>
    <w:r>
      <w:rPr>
        <w:color w:val="5B6470"/>
        <w:sz w:val="15"/>
        <w:szCs w:val="15"/>
      </w:rPr>
      <w:t xml:space="preserve">BizzBizouille — L’Abeille en Vadrouille  ·  bizzbizouille.fr  ·  lovin.production@gmail.com  ·  Fiche gratuite, libre d’usage en classe  ·  page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/>
      <w:jc w:val="right"/>
    </w:pPr>
    <w:r>
      <w:drawing>
        <wp:inline distT="0" distB="0" distL="0" distR="0">
          <wp:extent cx="914400" cy="285750"/>
          <wp:effectExtent t="0" r="0" b="0" l="0"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14400" cy="2857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40" w:hanging="200"/>
      </w:pPr>
    </w:lvl>
    <w:lvl w:ilvl="1" w15:tentative="1">
      <w:start w:val="1"/>
      <w:numFmt w:val="bullet"/>
      <w:lvlText w:val="–"/>
      <w:lvlJc w:val="left"/>
      <w:pPr>
        <w:ind w:left="660" w:hanging="2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image" Target="media/8d6a596ec8e7e6cd48bea6e48239dd5ea5fecb19.jpg"/><Relationship Id="rId11" Type="http://schemas.openxmlformats.org/officeDocument/2006/relationships/fontTable" Target="fontTable.xml"/><Relationship Id="rId12" Type="http://schemas.openxmlformats.org/officeDocument/2006/relationships/image" Target="media/image1.jpg"/></Relationships>
</file>

<file path=word/_rels/header1.xml.rels><?xml version='1.0' encoding='UTF-8' standalone='yes'?>
<Relationships xmlns="http://schemas.openxmlformats.org/package/2006/relationships"><Relationship Id="rId0" Type="http://schemas.openxmlformats.org/officeDocument/2006/relationships/image" Target="media/079213abb510bf473c8b1d7623e8becc28a297ef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Fiche pédagogique Cycle 3 — Séance 5 : Projet éco-citoyen filé</dc:title>
  <dc:creator>BizzBizouille — Lovin’ Production</dc:creator>
  <dc:description>Séquence pédagogique gratuite pour l’école primaire autour du spectacle musical BizzBizouille.</dc:description>
  <cp:lastModifiedBy>Un-named</cp:lastModifiedBy>
  <cp:revision>1</cp:revision>
  <dcterms:created xsi:type="dcterms:W3CDTF">2026-08-07T18:14:39.044Z</dcterms:created>
  <dcterms:modified xsi:type="dcterms:W3CDTF">2026-08-07T18:14:39.044Z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